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  <w:r w:rsidRPr="0076400B">
        <w:rPr>
          <w:rFonts w:cs="Arial"/>
          <w:b/>
        </w:rPr>
        <w:t xml:space="preserve">РОССИЙСКАЯ ФЕДЕРАЦИЯ </w:t>
      </w:r>
    </w:p>
    <w:p w:rsid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  <w:r w:rsidRPr="0076400B">
        <w:rPr>
          <w:rFonts w:cs="Arial"/>
          <w:b/>
        </w:rPr>
        <w:t xml:space="preserve">ИРКУТСКАЯ ОБЛАСТЬ </w:t>
      </w:r>
    </w:p>
    <w:p w:rsid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  <w:r w:rsidRPr="0076400B">
        <w:rPr>
          <w:rFonts w:cs="Arial"/>
          <w:b/>
        </w:rPr>
        <w:t xml:space="preserve">БОХАНСКИЙ РАЙОН </w:t>
      </w:r>
    </w:p>
    <w:p w:rsid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  <w:r w:rsidRPr="0076400B">
        <w:rPr>
          <w:rFonts w:cs="Arial"/>
          <w:b/>
        </w:rPr>
        <w:t>МУНИЦИПАЛЬНОЕ ОБРАЗОВАНИЕ «ТИХОНОВКА»</w:t>
      </w:r>
    </w:p>
    <w:p w:rsidR="0076400B" w:rsidRDefault="0076400B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  <w:r w:rsidRPr="0076400B">
        <w:rPr>
          <w:rFonts w:cs="Arial"/>
          <w:b/>
        </w:rPr>
        <w:t>ВЕСТНИК МО «ТИХОНОВКА» 12 (5) от 15.06.2021 г.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cs="Arial"/>
          <w:b/>
        </w:rPr>
      </w:pPr>
    </w:p>
    <w:p w:rsidR="006644A1" w:rsidRPr="0076400B" w:rsidRDefault="006644A1" w:rsidP="0076400B">
      <w:pPr>
        <w:spacing w:after="0" w:line="240" w:lineRule="auto"/>
        <w:ind w:left="567" w:right="283" w:firstLine="709"/>
        <w:jc w:val="center"/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lastRenderedPageBreak/>
        <w:t>24.05.2021Г. № 28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РОССИЙСКАЯ ФЕДЕРАЦИЯ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ИРКУТСКАЯ ОБЛАСТЬ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БОХАНСКИЙ МУНИЦИПАЛЬНЫЙ РАЙОН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МУНИЦИПАЛЬНОЕ ОБРАЗОВАНИЕ «ТИХОНОВКА»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АДМИНИСТРАЦИЯ</w:t>
      </w:r>
    </w:p>
    <w:p w:rsidR="0076400B" w:rsidRPr="0076400B" w:rsidRDefault="0076400B" w:rsidP="0076400B">
      <w:pPr>
        <w:pStyle w:val="Standard"/>
        <w:widowControl w:val="0"/>
        <w:suppressAutoHyphens w:val="0"/>
        <w:ind w:left="567" w:right="283" w:firstLine="709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6400B">
        <w:rPr>
          <w:rFonts w:ascii="Arial" w:hAnsi="Arial" w:cs="Arial"/>
          <w:b/>
          <w:sz w:val="22"/>
          <w:szCs w:val="22"/>
          <w:lang w:val="ru-RU"/>
        </w:rPr>
        <w:t>ПОСТАНОВЛЕНИЕ</w:t>
      </w:r>
    </w:p>
    <w:p w:rsidR="0076400B" w:rsidRPr="0076400B" w:rsidRDefault="0076400B" w:rsidP="0076400B">
      <w:pPr>
        <w:spacing w:after="0" w:line="240" w:lineRule="auto"/>
        <w:ind w:left="567" w:right="283" w:firstLine="709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76400B">
        <w:rPr>
          <w:rFonts w:ascii="Arial" w:eastAsia="Times New Roman" w:hAnsi="Arial" w:cs="Arial"/>
          <w:b/>
          <w:bCs/>
          <w:color w:val="000000"/>
        </w:rPr>
        <w:t>О МЕЖВЕДОМСТВЕННОЙ КОМИССИИ ПО СНИЖЕНИЮ НЕФОРМАЛЬНОЙ ЗАНЯТОСТИ В МУНИЦИПАЛЬНОМ ОБРАЗОВАНИИ «ТИХОНОВКА»</w:t>
      </w:r>
    </w:p>
    <w:p w:rsidR="0076400B" w:rsidRPr="0076400B" w:rsidRDefault="0076400B" w:rsidP="0076400B">
      <w:pPr>
        <w:spacing w:after="0" w:line="240" w:lineRule="auto"/>
        <w:ind w:left="567" w:right="283" w:firstLine="709"/>
        <w:textAlignment w:val="baseline"/>
        <w:rPr>
          <w:rFonts w:ascii="Arial" w:eastAsia="Times New Roman" w:hAnsi="Arial" w:cs="Arial"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 xml:space="preserve">В целях организации работы по снижению неформальной занятости в Иркутской области, в соответствии со статьей 18 </w:t>
      </w:r>
      <w:hyperlink r:id="rId4" w:history="1">
        <w:r w:rsidRPr="0076400B">
          <w:rPr>
            <w:rFonts w:ascii="Arial" w:eastAsia="Times New Roman" w:hAnsi="Arial" w:cs="Arial"/>
          </w:rPr>
          <w:t>Закона Иркутской области от 18 ноября 2009 года N 82/48-оз "О Правительстве Иркутской области"</w:t>
        </w:r>
      </w:hyperlink>
      <w:r w:rsidRPr="0076400B">
        <w:rPr>
          <w:rFonts w:ascii="Arial" w:eastAsia="Times New Roman" w:hAnsi="Arial" w:cs="Arial"/>
        </w:rPr>
        <w:t>, руководствуясь Уставом МО «Тихоновка» ,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76400B">
        <w:rPr>
          <w:rFonts w:ascii="Arial" w:eastAsia="Times New Roman" w:hAnsi="Arial" w:cs="Arial"/>
          <w:b/>
          <w:color w:val="000000"/>
        </w:rPr>
        <w:t>ПОСТАНОВЛЯЕТ: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6400B">
        <w:rPr>
          <w:rFonts w:ascii="Arial" w:eastAsia="Times New Roman" w:hAnsi="Arial" w:cs="Arial"/>
          <w:color w:val="000000"/>
        </w:rPr>
        <w:t>1. Утвердить Положение о межведомственной комиссии по снижению неформальной занятости в муниципальном образовании «Тихоновка» (Приложение № 1).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6400B">
        <w:rPr>
          <w:rFonts w:ascii="Arial" w:eastAsia="Times New Roman" w:hAnsi="Arial" w:cs="Arial"/>
          <w:color w:val="000000"/>
        </w:rPr>
        <w:t>2. Создать межведомственную комиссию по снижению неформальной занятости в муниципальном образовании «Тихоновка». (Приложение № 2)</w:t>
      </w:r>
    </w:p>
    <w:p w:rsidR="0076400B" w:rsidRPr="0076400B" w:rsidRDefault="0076400B" w:rsidP="0076400B">
      <w:pPr>
        <w:shd w:val="clear" w:color="auto" w:fill="FFFFFF"/>
        <w:spacing w:after="0" w:line="240" w:lineRule="auto"/>
        <w:ind w:left="567" w:right="283" w:firstLine="709"/>
        <w:jc w:val="both"/>
        <w:rPr>
          <w:rFonts w:ascii="Arial" w:eastAsia="Times New Roman" w:hAnsi="Arial" w:cs="Arial"/>
          <w:color w:val="000000"/>
        </w:rPr>
      </w:pPr>
      <w:r w:rsidRPr="0076400B">
        <w:rPr>
          <w:rFonts w:ascii="Arial" w:eastAsia="Times New Roman" w:hAnsi="Arial" w:cs="Arial"/>
          <w:color w:val="000000"/>
        </w:rPr>
        <w:t>3. 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76400B" w:rsidRPr="0076400B" w:rsidRDefault="0076400B" w:rsidP="0076400B">
      <w:pPr>
        <w:spacing w:after="0" w:line="240" w:lineRule="auto"/>
        <w:ind w:left="567" w:right="283" w:firstLine="709"/>
        <w:textAlignment w:val="baseline"/>
        <w:rPr>
          <w:rFonts w:ascii="Arial" w:eastAsia="Times New Roman" w:hAnsi="Arial" w:cs="Arial"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rPr>
          <w:rFonts w:ascii="Arial" w:eastAsia="Times New Roman" w:hAnsi="Arial" w:cs="Arial"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textAlignment w:val="baseline"/>
        <w:rPr>
          <w:rFonts w:ascii="Arial" w:eastAsia="Times New Roman" w:hAnsi="Arial" w:cs="Arial"/>
          <w:color w:val="000000"/>
        </w:rPr>
      </w:pPr>
      <w:r w:rsidRPr="0076400B">
        <w:rPr>
          <w:rFonts w:ascii="Arial" w:eastAsia="Times New Roman" w:hAnsi="Arial" w:cs="Arial"/>
          <w:color w:val="000000"/>
        </w:rPr>
        <w:t>Глава МО «Тихоновка»</w:t>
      </w:r>
    </w:p>
    <w:p w:rsidR="0076400B" w:rsidRPr="0076400B" w:rsidRDefault="0076400B" w:rsidP="0076400B">
      <w:pPr>
        <w:spacing w:after="0" w:line="240" w:lineRule="auto"/>
        <w:ind w:left="567" w:right="283" w:firstLine="709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6400B">
        <w:rPr>
          <w:rFonts w:ascii="Arial" w:eastAsia="Times New Roman" w:hAnsi="Arial" w:cs="Arial"/>
          <w:color w:val="000000"/>
        </w:rPr>
        <w:t>М.В.Скоробогатова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</w:rPr>
      </w:pPr>
      <w:r w:rsidRPr="0076400B">
        <w:rPr>
          <w:rFonts w:ascii="Courier New" w:eastAsia="Times New Roman" w:hAnsi="Courier New" w:cs="Courier New"/>
          <w:bCs/>
          <w:color w:val="000000"/>
        </w:rPr>
        <w:t>Приложение № 1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</w:rPr>
      </w:pPr>
      <w:r w:rsidRPr="0076400B">
        <w:rPr>
          <w:rFonts w:ascii="Courier New" w:eastAsia="Times New Roman" w:hAnsi="Courier New" w:cs="Courier New"/>
          <w:bCs/>
          <w:color w:val="000000"/>
        </w:rPr>
        <w:t xml:space="preserve">Утверждено 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</w:rPr>
      </w:pPr>
      <w:r w:rsidRPr="0076400B">
        <w:rPr>
          <w:rFonts w:ascii="Courier New" w:eastAsia="Times New Roman" w:hAnsi="Courier New" w:cs="Courier New"/>
          <w:bCs/>
          <w:color w:val="000000"/>
        </w:rPr>
        <w:t xml:space="preserve">постановлением администрации 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</w:rPr>
      </w:pPr>
      <w:r w:rsidRPr="0076400B">
        <w:rPr>
          <w:rFonts w:ascii="Courier New" w:eastAsia="Times New Roman" w:hAnsi="Courier New" w:cs="Courier New"/>
          <w:bCs/>
          <w:color w:val="000000"/>
        </w:rPr>
        <w:t>МО «Тихоновка» от 24.05.2021г № 28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76400B">
        <w:rPr>
          <w:rFonts w:ascii="Arial" w:eastAsia="Times New Roman" w:hAnsi="Arial" w:cs="Arial"/>
          <w:b/>
          <w:bCs/>
        </w:rPr>
        <w:t>ПОЛОЖЕНИЕ О МЕЖВЕДОМСТВЕННОЙ КОМИССИИ ПО СНИЖЕНИЮ НЕФОРМАЛЬНОЙ ЗАНЯТОСТИ В ИРКУТСКОЙ ОБЛАСТИ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76400B">
        <w:rPr>
          <w:rFonts w:ascii="Arial" w:eastAsia="Times New Roman" w:hAnsi="Arial" w:cs="Arial"/>
          <w:b/>
          <w:bCs/>
        </w:rPr>
        <w:t>Глава 1. ОБЩИЕ ПОЛОЖЕНИЯ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1. Межведомственная комиссия по снижению неформальной занятости в муниципальном образовании «Тихоновка» (далее - комиссия) является координационным органом при администрации муниципального образования «Тихоновка», образованной в целях обеспечения взаимодействия органов государственной власти Иркутской области, территориальных органов федеральных органов исполнительной власти, органа местного самоуправления муниципального образования «Тихоновка», общественных объединений и организаций (далее - органы и организации) по вопросам снижения неформальной занятости в муниципальном образовании «Тихоновка».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 xml:space="preserve">2. Комиссия в своей деятельности руководствуется </w:t>
      </w:r>
      <w:hyperlink r:id="rId5" w:history="1">
        <w:r w:rsidRPr="0076400B">
          <w:rPr>
            <w:rFonts w:ascii="Arial" w:eastAsia="Times New Roman" w:hAnsi="Arial" w:cs="Arial"/>
          </w:rPr>
          <w:t>Конституцией Российской Федерации</w:t>
        </w:r>
      </w:hyperlink>
      <w:r w:rsidRPr="0076400B">
        <w:rPr>
          <w:rFonts w:ascii="Arial" w:eastAsia="Times New Roman" w:hAnsi="Arial" w:cs="Arial"/>
        </w:rPr>
        <w:t>, федеральными законами, иными правовыми актами Российской Федерации, Уставом МО «Тихоновка», законами и иными правовыми актами Иркутской области, а также настоящим Положением.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76400B">
        <w:rPr>
          <w:rFonts w:ascii="Arial" w:eastAsia="Times New Roman" w:hAnsi="Arial" w:cs="Arial"/>
          <w:b/>
          <w:bCs/>
        </w:rPr>
        <w:t>Глава 2. ОСНОВНЫЕ ЗАДАЧИ КОМИССИИ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3. Основными задачами комиссии являются: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 xml:space="preserve">1) обеспечение взаимодействия органов и организаций по вопросам снижения неформальной занятости в муниципальном образовании «Тихоновка», легализации "серой" </w:t>
      </w:r>
      <w:r w:rsidRPr="0076400B">
        <w:rPr>
          <w:rFonts w:ascii="Arial" w:eastAsia="Times New Roman" w:hAnsi="Arial" w:cs="Arial"/>
        </w:rPr>
        <w:lastRenderedPageBreak/>
        <w:t>заработной платы и трудовых отношений, повышения объема поступления страховых взносов в налоговый орган в соответствии с законодательством Российской Федерации о налогах и сборах и уровня уплаты налога на доходы физических лиц на территории муниципального образования «Тихоновка»;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2) организация обмена между органами и организациями, участвующими в работе комиссии, информацией о работодателях, использующих труд работников без официального оформления трудовых отношений и нелегальные схемы выплаты заработной платы;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3) анализ ситуации на рынке труда в части наличия неформальной занятости в муниципальном образовании «Тихоновка», легализации "серой" заработной платы;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4) мониторинг эффективности реализации мероприятий, направленных на снижение неформальной занятости в муниципальном образовании «Тихоновка» и повышение объема поступления страховых взносов в налоговый орган в соответствии с законодательством Российской Федерации о налогах и сборах;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5) организационно-методическое обеспечение деятельности органов и организаций по вопросам снижения неформальной занятости в Иркутской области, легализации "серой" заработной платы и трудовых отношений;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6) информирование населения муниципального образования «Тихоновка» о принимаемых мерах по легализации "серой" заработной платы и трудовых отношений, проведение разъяснительной работы с работодателями о необходимости соблюдения трудового законодательства в части официального оформления трудовых отношений с работниками и выплаты им официальной заработной платы;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7) обсуждение иных вопросов, относящихся к вопросам снижения неформальной занятости в муниципальном образовании «Тихоновка».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</w:rPr>
      </w:pPr>
      <w:r w:rsidRPr="0076400B">
        <w:rPr>
          <w:rFonts w:ascii="Arial" w:eastAsia="Times New Roman" w:hAnsi="Arial" w:cs="Arial"/>
          <w:b/>
          <w:bCs/>
        </w:rPr>
        <w:t>Глава 3. ПРАВА КОМИССИИ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4. Комиссия в пределах своей компетенции имеет право: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1) запрашивать у органов и организаций необходимую для работы комиссии информацию;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2) приглашать на свои заседания должностных лиц органов и организаций, специалистов, экспертов, граждан;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3) разрабатывать и направлять в адрес органов и организаций, участвующих в работе комиссии, рекомендации и предложения по вопросам, относящимся к компетенции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4) вносить предложения о разработке проектов правовых актов администрации МО «Тихоновка» по вопросам снижения неформальной занятости в муниципальном образовании «Тихоновка»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5) заслушивать на своих заседаниях представителей органов и организаций, приглашенных лиц по вопросам, относящимся к компетенции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6) направлять органам государственного контроля (надзора), органам муниципального контроля информацию о работодателях, использующих труд работников без официального оформления трудовых отношений и нелегальные схемы выплаты заработной платы;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7) осуществлять иные полномочия по вопросам, относящимся к компетенции комиссии, в соответствии с законодательством.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  <w:b/>
          <w:bCs/>
        </w:rPr>
        <w:t>Глава 4. ПОРЯДОК ФОРМИРОВАНИЯ И ДЕЯТЕЛЬНОСТИ КОМИССИИ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6. Председатель комиссии: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1) организует работу комиссии, дает поручения членам комиссии по вопросам, связанным с решением возложенных на комиссию задач, обеспечивает контроль за исполнением решений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2) организует планирование работы комиссии, утверждает повестки заседаний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3) ведет заседания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4) представляет комиссию во взаимоотношениях с органами и организациями;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5) утверждает протоколы заседаний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7. Заместитель председателя комиссии: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lastRenderedPageBreak/>
        <w:t>1) исполняет обязанности председателя комиссии в период его отсутствия;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2) решает иные вопросы, связанные с деятельностью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8. Секретарь комиссии: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1) подготавливает повестки заседания комиссии, представляет их для утверждения председателю комиссии, а в его отсутствие лицу, председательствующему на заседании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2) информирует членов комиссии о дате, месте, времени проведения и повестке дня очередного заседания комиссии, обеспечивает их необходимыми материалами;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3) обеспечивает подготовку протоколов заседаний комиссии, подписывает и представляет их для утверждения председателю комиссии, а в его отсутствие лицу, председательствующему на заседании комиссии, организует их направление заинтересованным органам и организациям;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4) исполняет поручения председателя комиссии и заместителя председателя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5) ведет делопроизводство по вопросам, относящимся к компетенции комиссии, учет и хранение документации комиссии;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6) контролирует исполнение решений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9. Члены комиссии участвуют в заседаниях комиссии, предлагают вопросы для обсуждения на заседаниях комиссии, участвуют в подготовке материалов, предложений и вопросов, рассматриваемых на заседаниях комиссии, участвуют в обсуждении проектов решений комиссии, обладают равными правами при обсуждении рассматриваемых на заседании комиссии вопросов.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10. Деятельность комиссии осуществляется в форме заседаний.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11. Заседания комиссии проводятся по мере необходимости, но не реже одного раза в квартал.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12. 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13. Решения комиссии принимаются большинством голосов от общего числа присутствующих на заседании комиссии лиц, входящих в ее состав.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В случае равенства голосов решающим является голос председателя комиссии, а в его отсутствие - лица, председательствующего на заседании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Члены комиссии, не согласные с принятым решением, вправе в письменном виде представить свое особое мнение, которое прилагается к протоколу заседания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14. Решение комиссии оформляется протоколом заседания комиссии, который подписывается секретарем комиссии и утверждается председателем комиссии либо лицом, председательствующим на заседании комиссии, в течение пяти рабочих дней со дня принятия решения комиссии.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15. Решения комиссии, принятые в пределах ее компетенции, носят рекомендательный характер.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16. Копия протокола заседания комиссии в течение пяти рабочих дней со дня его утверждения направляется членам комиссии, а также в адрес заинтересованных органов и организаций.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both"/>
        <w:textAlignment w:val="baseline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17. Организационно-техническое обеспечение деятельности комиссии осуществляет министерство труда и занятости Иркутской области.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</w:rPr>
      </w:pPr>
      <w:r w:rsidRPr="0076400B">
        <w:rPr>
          <w:rFonts w:ascii="Courier New" w:eastAsia="Times New Roman" w:hAnsi="Courier New" w:cs="Courier New"/>
          <w:bCs/>
        </w:rPr>
        <w:t>Приложение № 2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</w:rPr>
      </w:pPr>
      <w:r w:rsidRPr="0076400B">
        <w:rPr>
          <w:rFonts w:ascii="Courier New" w:eastAsia="Times New Roman" w:hAnsi="Courier New" w:cs="Courier New"/>
          <w:bCs/>
        </w:rPr>
        <w:t xml:space="preserve">к постановлению 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</w:rPr>
      </w:pPr>
      <w:r w:rsidRPr="0076400B">
        <w:rPr>
          <w:rFonts w:ascii="Courier New" w:eastAsia="Times New Roman" w:hAnsi="Courier New" w:cs="Courier New"/>
          <w:bCs/>
        </w:rPr>
        <w:t>администрации МО «Тихоновка»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</w:rPr>
      </w:pPr>
      <w:r w:rsidRPr="0076400B">
        <w:rPr>
          <w:rFonts w:ascii="Courier New" w:eastAsia="Times New Roman" w:hAnsi="Courier New" w:cs="Courier New"/>
          <w:bCs/>
        </w:rPr>
        <w:t>от 24.05.2021г № 28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lastRenderedPageBreak/>
        <w:t>О создании межведомственной комиссии по снижению неформальной занятости в муниципальном образовании «Тихоновка».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</w:rPr>
      </w:pP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Создать межведомственную комиссию по снижению неформальной занятости в муниципальном образовании «Тихоновка» в составе: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Председатель комиссии - глава администрации МО «Тихоновка» - Скоробогатова М.В.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 xml:space="preserve">Заместитель председателя – </w:t>
      </w:r>
      <w:proofErr w:type="spellStart"/>
      <w:proofErr w:type="gramStart"/>
      <w:r w:rsidRPr="0076400B">
        <w:rPr>
          <w:rFonts w:ascii="Arial" w:hAnsi="Arial" w:cs="Arial"/>
        </w:rPr>
        <w:t>зам.главы</w:t>
      </w:r>
      <w:proofErr w:type="spellEnd"/>
      <w:proofErr w:type="gramEnd"/>
      <w:r w:rsidRPr="0076400B">
        <w:rPr>
          <w:rFonts w:ascii="Arial" w:hAnsi="Arial" w:cs="Arial"/>
        </w:rPr>
        <w:t xml:space="preserve"> МО «Тихоновка» - Маркович О.Н.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>Секретарь комиссии – делопроизводитель МО «Тихоновка» - Димова М.Н.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 xml:space="preserve">Члены комиссии – 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 xml:space="preserve">Директор МБУК СКЦ МО «Тихоновка» - </w:t>
      </w:r>
      <w:proofErr w:type="spellStart"/>
      <w:r w:rsidRPr="0076400B">
        <w:rPr>
          <w:rFonts w:ascii="Arial" w:hAnsi="Arial" w:cs="Arial"/>
        </w:rPr>
        <w:t>Сырбу</w:t>
      </w:r>
      <w:proofErr w:type="spellEnd"/>
      <w:r w:rsidRPr="0076400B">
        <w:rPr>
          <w:rFonts w:ascii="Arial" w:hAnsi="Arial" w:cs="Arial"/>
        </w:rPr>
        <w:t xml:space="preserve"> Е.Б. 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>Совет ветеранов – по согласованию</w:t>
      </w:r>
    </w:p>
    <w:p w:rsidR="0076400B" w:rsidRPr="0076400B" w:rsidRDefault="0076400B" w:rsidP="0076400B">
      <w:pPr>
        <w:spacing w:after="0" w:line="240" w:lineRule="auto"/>
        <w:ind w:left="567" w:right="283" w:firstLine="709"/>
        <w:rPr>
          <w:rFonts w:ascii="Arial" w:hAnsi="Arial" w:cs="Arial"/>
        </w:rPr>
      </w:pPr>
      <w:r w:rsidRPr="0076400B">
        <w:rPr>
          <w:rFonts w:ascii="Arial" w:hAnsi="Arial" w:cs="Arial"/>
        </w:rPr>
        <w:t>Депутаты Думы МО «Тихоновка» - по согласованию</w:t>
      </w:r>
    </w:p>
    <w:p w:rsidR="0076400B" w:rsidRPr="0076400B" w:rsidRDefault="0076400B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24.05.2021Г. № 30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РОССИЙСКАЯ ФЕДЕРАЦИЯ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ИРКУТСКАЯ ОБЛАСТЬ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БОХАНСКИЙ МУНИЦИПАЛЬНЫЙ РАЙОН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МУНИЦИПАЛЬНОЕ ОБРАЗОВАНИЕ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АДМИНИСТРАЦИЯ</w:t>
      </w:r>
    </w:p>
    <w:p w:rsidR="007F70ED" w:rsidRPr="0076400B" w:rsidRDefault="007F70ED" w:rsidP="0076400B">
      <w:pPr>
        <w:tabs>
          <w:tab w:val="left" w:pos="2057"/>
        </w:tabs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ПОСТАНОВЛЕНИЕ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 xml:space="preserve">ОБ ИСПОЛНЕНИИ БЮДЖЕТА ЗА 2020 ГОД 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На основании Федерального закона №131-ФЗ «Об общих принципах организации местного самоуправления в Российской Федерации», заключения Контрольно-счетной палаты МО «Боханский район» по результатам отчета об исполнении бюджета муниципального образования «Тихоновка» за 2020 год от 14 апреля 2021 года №7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ПОСТАНОВЛЯЮ: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1.Утвердить исполнение бюджета 2020 год согласно приложениям 1 ,2.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2.Настоящее постановление опубликовать в «Вестнике МО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3.Настоящее постановление вступает в силу после дня его официального опубликования.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Глава МО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М.В.Скоробогатова</w:t>
      </w: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tbl>
      <w:tblPr>
        <w:tblW w:w="109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283"/>
        <w:gridCol w:w="567"/>
        <w:gridCol w:w="992"/>
        <w:gridCol w:w="426"/>
        <w:gridCol w:w="850"/>
        <w:gridCol w:w="709"/>
        <w:gridCol w:w="3544"/>
        <w:gridCol w:w="2551"/>
      </w:tblGrid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Приложение № 1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к Постановлению главы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от 24    мая 2021года №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Поступления  доходов бюджета МО Тихоновка"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за 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 бюджетной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2020 год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5032,00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Налог на доходы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физ.лиц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физ.лиц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дох.пол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Дох.от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уплаты акцизов на нефтепродукты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2769,90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55,10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55,10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981,00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06033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 с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340,00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06043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641,00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Гос.пошлина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совершение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нотар.действий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долж.лицами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Гос.пошлина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совершение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нотар.действий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долж.лицами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Доходы от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исп.имущ-ва,нах.в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гос.и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мун.собст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268,00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Дох.пол.в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виде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арен.платы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земельные участки 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наход.на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террит.населен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220,00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Дох.пол.в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виде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арен.платы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имущество находящееся в собственности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Доходы от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реал.им-ва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нах.в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гос.и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муниц.соб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303,00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111,00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Прочие поступления от денежных взысканий (штрафов) и иных сумм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Безвозмездные перечисления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13096,75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От других бюджетов бюджетной системы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13096,75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10692,00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Дотации бюджетам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посел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10692,00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 бюджетам бюджетной системы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2160,60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25519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50,00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2110,60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Субвенции бюджетам субъектов Российской Федерации и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мун.образов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134,80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Субвенции бюджетам поселений на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</w:t>
            </w:r>
            <w:proofErr w:type="spellEnd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полно  первичному воинскому учету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134,10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Субвенции местным бюджетам на выполнение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передав.полномочий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0,70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Субвенции местным бюджетам на выполнение </w:t>
            </w:r>
            <w:proofErr w:type="spellStart"/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передав.полномочий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109,35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6400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18128,75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 5 %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251,60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Допустимые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18380,35</w:t>
            </w: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7F70ED" w:rsidRPr="0076400B" w:rsidRDefault="007F70ED" w:rsidP="0076400B">
      <w:pPr>
        <w:spacing w:after="0" w:line="240" w:lineRule="auto"/>
        <w:ind w:left="567" w:right="283" w:firstLine="709"/>
      </w:pPr>
    </w:p>
    <w:tbl>
      <w:tblPr>
        <w:tblW w:w="109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238"/>
        <w:gridCol w:w="1068"/>
        <w:gridCol w:w="2977"/>
        <w:gridCol w:w="283"/>
        <w:gridCol w:w="1701"/>
      </w:tblGrid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2 к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Постановлению главы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от 24 мая 2021 №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Исполнение бюджета МО "Тихоновка" за 2020 год по расходам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Наименование</w:t>
            </w:r>
          </w:p>
        </w:tc>
        <w:tc>
          <w:tcPr>
            <w:tcW w:w="5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Коды ведомственной  классификации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Гла</w:t>
            </w: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ЦСР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Расходы бюджета ВСЕГО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18380,35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8480,46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Функц.Пр-ва</w:t>
            </w:r>
            <w:proofErr w:type="spellEnd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РФ,выс.орг.гос.власти</w:t>
            </w:r>
            <w:proofErr w:type="spellEnd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и местного </w:t>
            </w:r>
            <w:proofErr w:type="spellStart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самоупр</w:t>
            </w:r>
            <w:proofErr w:type="spellEnd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801 00 00 000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1473,96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801 00 00 000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1159,96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801 </w:t>
            </w: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314,00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7006,50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7006,50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4846,00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3890,00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956,00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Закупка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1949,96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закупки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1949,96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1949,96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210,54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Программа Народные инициативы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797,40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Программа Народные инициативы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802 00 00 </w:t>
            </w: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773,40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 Программе "Народные инициативы"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801 80 05 000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органов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мест.самоуправления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801 80 05 000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Расходы на </w:t>
            </w:r>
            <w:proofErr w:type="spellStart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передованемые</w:t>
            </w:r>
            <w:proofErr w:type="spellEnd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полномочия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801 06 00 000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Мобилизационная и вневойсковая под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</w:t>
            </w: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134,10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603 51 18 000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134,10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Расходы на заработную плату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603 51 18 000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127,50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государственных (муниципальных )органов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603 51 18 000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97,93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603 51 18 000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29,57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603 51 18 000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Муниципальный дорожный фонд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790 80 06 000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3018,67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товаров,работ</w:t>
            </w:r>
            <w:proofErr w:type="spellEnd"/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790 80 06 000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3018,67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Благоустройство памятников на территории МО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802 00 00 000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109,35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5613,60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5613,60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000 00 00 </w:t>
            </w: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4185,00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803 00 00 000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3622,27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803 00 00 000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1428,60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805 00 00 000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562,73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804 00 00 000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103,51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Иные пенсии ,социальные доплаты к пенсиям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804 00 00 000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color w:val="000000"/>
                <w:lang w:eastAsia="en-US"/>
              </w:rPr>
              <w:t>103,51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F70ED" w:rsidRPr="0076400B" w:rsidTr="0076400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Иные межбюджетные </w:t>
            </w:r>
            <w:proofErr w:type="spellStart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трансферты.Переда</w:t>
            </w: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ваемые</w:t>
            </w:r>
            <w:proofErr w:type="spellEnd"/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полномочия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7998</w:t>
            </w: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001540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540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6400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35,56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0ED" w:rsidRPr="0076400B" w:rsidRDefault="007F70ED" w:rsidP="0076400B">
            <w:pPr>
              <w:autoSpaceDE w:val="0"/>
              <w:autoSpaceDN w:val="0"/>
              <w:adjustRightInd w:val="0"/>
              <w:spacing w:after="0" w:line="240" w:lineRule="auto"/>
              <w:ind w:left="567" w:right="283" w:firstLine="709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24.05.2021Г. № 31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РОССИЙСКАЯ ФЕДЕРАЦИЯ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ИРКУТСКАЯ ОБЛАСТЬ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БОХАНСКИЙ МУНИЦИПАЛЬНЫЙ РАЙОН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МУНИЦИПАЛЬНОЕ ОБРАЗОВАНИЕ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АДМИНИСТРАЦИЯ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ПОСТАНОВЛНИЕ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</w:p>
    <w:p w:rsidR="007F70ED" w:rsidRPr="0076400B" w:rsidRDefault="007F70ED" w:rsidP="0076400B">
      <w:pPr>
        <w:autoSpaceDE w:val="0"/>
        <w:autoSpaceDN w:val="0"/>
        <w:adjustRightInd w:val="0"/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О ВНЕСЕНИИ ИЗМЕНЕНИЙ И ДОПОЛНЕНИЙ В ПОСТАНОВЛЕНИЕ №7 ОТ 26 ЯНВАРЯ 2021 ГОДА «ОБ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76400B">
        <w:rPr>
          <w:rFonts w:ascii="Arial" w:eastAsia="Times New Roman" w:hAnsi="Arial" w:cs="Arial"/>
          <w:color w:val="000000"/>
          <w:shd w:val="clear" w:color="auto" w:fill="FFFFFF"/>
        </w:rPr>
        <w:t xml:space="preserve">В целях эффективной реализации в 2021 году мероприятий перечня  проектов народных инициатив ,сформированных на основании собрания граждан МО « Тихоновка» от 26.12.2020 года, в соответствии с положением о предоставлении  и расходования в 2021 году субсидий из областного бюджета местным бюджетам 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 от 03 февраля 2021 года № 54 - </w:t>
      </w:r>
      <w:proofErr w:type="spellStart"/>
      <w:r w:rsidRPr="0076400B">
        <w:rPr>
          <w:rFonts w:ascii="Arial" w:eastAsia="Times New Roman" w:hAnsi="Arial" w:cs="Arial"/>
          <w:color w:val="000000"/>
          <w:shd w:val="clear" w:color="auto" w:fill="FFFFFF"/>
        </w:rPr>
        <w:t>пп</w:t>
      </w:r>
      <w:proofErr w:type="spellEnd"/>
      <w:r w:rsidRPr="0076400B">
        <w:rPr>
          <w:rFonts w:ascii="Arial" w:eastAsia="Times New Roman" w:hAnsi="Arial" w:cs="Arial"/>
          <w:shd w:val="clear" w:color="auto" w:fill="FFFFFF"/>
        </w:rPr>
        <w:t>, руководствуясь пунктом 1 статьи 78.1,пунктом 1 статьи 86, статьей 161 бюджетного кодекса Российской Федерации, Уставом МО «Тихоновка».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</w:rPr>
      </w:pPr>
      <w:r w:rsidRPr="0076400B">
        <w:rPr>
          <w:rFonts w:ascii="Arial" w:eastAsia="Times New Roman" w:hAnsi="Arial" w:cs="Arial"/>
          <w:b/>
        </w:rPr>
        <w:t>ПОСТАНОВЛЯЕТ: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1.В связи с изменением конъюнктуры цен и необходимости перераспределения объемов финансирования мероприятий, Приложение 1 постановления №7 от 26 января 2021 года «Об утверждении мероприятий перечня проектов народных инициатив, порядка организации работы по его реализации и расходования бюджетных средств» изменить утвержденные суммы финансирования мероприятий. Утвердить мероприятия перечня проектов народных инициатив, в новой редакции реализация которых в 2021 году осуществляется за счет средств местного бюджета в объеме 10 046,00 рублей и субсидии из областного бюджета, предоставляемой в целях софинансирования расходных обязательств муниципального образования, в объеме 324 800,00 рублей. (Приложение 1).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2.Настоящее постановление подлежит опубликованию в вестнике МО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 xml:space="preserve">3.Контроль за исполнением постановления оставляю за собой. 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Глава МО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both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М.В.Скоробогатова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Courier New" w:eastAsia="Times New Roman" w:hAnsi="Courier New" w:cs="Courier New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Courier New" w:eastAsia="Times New Roman" w:hAnsi="Courier New" w:cs="Courier New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Courier New" w:eastAsia="Times New Roman" w:hAnsi="Courier New" w:cs="Courier New"/>
        </w:rPr>
      </w:pPr>
      <w:r w:rsidRPr="0076400B">
        <w:rPr>
          <w:rFonts w:ascii="Courier New" w:eastAsia="Times New Roman" w:hAnsi="Courier New" w:cs="Courier New"/>
        </w:rPr>
        <w:t xml:space="preserve">Приложение №2 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Courier New" w:eastAsia="Times New Roman" w:hAnsi="Courier New" w:cs="Courier New"/>
        </w:rPr>
      </w:pPr>
      <w:r w:rsidRPr="0076400B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Courier New" w:eastAsia="Times New Roman" w:hAnsi="Courier New" w:cs="Courier New"/>
        </w:rPr>
      </w:pPr>
      <w:r w:rsidRPr="0076400B">
        <w:rPr>
          <w:rFonts w:ascii="Courier New" w:eastAsia="Times New Roman" w:hAnsi="Courier New" w:cs="Courier New"/>
        </w:rPr>
        <w:t>МО «Тихоновка»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Times New Roman" w:eastAsia="Times New Roman" w:hAnsi="Times New Roman" w:cs="Times New Roman"/>
        </w:rPr>
      </w:pPr>
      <w:r w:rsidRPr="0076400B">
        <w:rPr>
          <w:rFonts w:ascii="Courier New" w:eastAsia="Times New Roman" w:hAnsi="Courier New" w:cs="Courier New"/>
        </w:rPr>
        <w:t>№ 31 от 24 мая 2021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right"/>
        <w:rPr>
          <w:rFonts w:ascii="Times New Roman" w:eastAsia="Times New Roman" w:hAnsi="Times New Roman" w:cs="Times New Roman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Порядок организации работы по реализации мероприятий народных инициатив</w:t>
      </w: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</w:rPr>
      </w:pP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1.Собрание граждан села Тихоновка.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2.Постановление об утверждении перечня проектов мероприятий по Народным инициативам.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3.Решение думы об утверждении перечня мероприятий по Народным инициативам.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4.Подготовка ходатайства о проведении торгов на право заключения муниципального контракта.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5.Проведение документации для проведения процедуры торгов.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6.Публикация извещения о проведении торгов.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7.Процедура проведения торгов.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8.Подписание контракта.</w:t>
      </w:r>
    </w:p>
    <w:p w:rsidR="007F70ED" w:rsidRPr="0076400B" w:rsidRDefault="007F70ED" w:rsidP="0076400B">
      <w:pPr>
        <w:spacing w:after="0" w:line="240" w:lineRule="auto"/>
        <w:ind w:left="567" w:right="283" w:firstLine="709"/>
        <w:rPr>
          <w:rFonts w:ascii="Arial" w:eastAsia="Times New Roman" w:hAnsi="Arial" w:cs="Arial"/>
        </w:rPr>
      </w:pPr>
      <w:r w:rsidRPr="0076400B">
        <w:rPr>
          <w:rFonts w:ascii="Arial" w:eastAsia="Times New Roman" w:hAnsi="Arial" w:cs="Arial"/>
        </w:rPr>
        <w:t>9.Оплата счета из местного бюджета.</w:t>
      </w: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</w:p>
    <w:p w:rsidR="007F70ED" w:rsidRPr="0076400B" w:rsidRDefault="007F70ED" w:rsidP="0076400B">
      <w:pPr>
        <w:spacing w:after="0" w:line="240" w:lineRule="auto"/>
        <w:ind w:left="567" w:right="283" w:firstLine="709"/>
      </w:pPr>
      <w:bookmarkStart w:id="0" w:name="_GoBack"/>
      <w:bookmarkEnd w:id="0"/>
    </w:p>
    <w:sectPr w:rsidR="007F70ED" w:rsidRPr="0076400B" w:rsidSect="0076400B">
      <w:pgSz w:w="11906" w:h="16838"/>
      <w:pgMar w:top="1134" w:right="56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1"/>
    <w:rsid w:val="001D628A"/>
    <w:rsid w:val="001F0638"/>
    <w:rsid w:val="006644A1"/>
    <w:rsid w:val="0076400B"/>
    <w:rsid w:val="007F70ED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C9D"/>
  <w15:chartTrackingRefBased/>
  <w15:docId w15:val="{8ADFEB8D-32E6-47BA-9A0A-E301389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0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hyperlink" Target="https://docs.cntd.ru/document/895228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2021-06-15T02:03:00Z</dcterms:created>
  <dcterms:modified xsi:type="dcterms:W3CDTF">2021-06-15T02:34:00Z</dcterms:modified>
</cp:coreProperties>
</file>